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C38" w:rsidP="00856C4A" w:rsidRDefault="00106A77" w14:paraId="1B9AA08B" w14:textId="520839EB">
      <w:pPr>
        <w:jc w:val="center"/>
        <w:rPr>
          <w:rFonts w:ascii="Arial Nova" w:hAnsi="Arial Nova" w:eastAsia="Calibri"/>
          <w:sz w:val="24"/>
          <w:szCs w:val="24"/>
        </w:rPr>
      </w:pPr>
      <w:r w:rsidRPr="43B5565D">
        <w:rPr>
          <w:rFonts w:ascii="Arial Nova" w:hAnsi="Arial Nova" w:eastAsia="Calibri"/>
          <w:sz w:val="24"/>
          <w:szCs w:val="24"/>
          <w:vertAlign w:val="superscript"/>
        </w:rPr>
        <w:t>177</w:t>
      </w:r>
      <w:r w:rsidRPr="43B5565D" w:rsidR="00856C4A">
        <w:rPr>
          <w:rFonts w:ascii="Arial Nova" w:hAnsi="Arial Nova" w:eastAsia="Calibri"/>
          <w:sz w:val="24"/>
          <w:szCs w:val="24"/>
        </w:rPr>
        <w:t>Lu-Dotatate</w:t>
      </w:r>
      <w:r w:rsidRPr="43B5565D" w:rsidR="00102511">
        <w:rPr>
          <w:rFonts w:ascii="Arial Nova" w:hAnsi="Arial Nova" w:eastAsia="Calibri"/>
          <w:sz w:val="24"/>
          <w:szCs w:val="24"/>
        </w:rPr>
        <w:t xml:space="preserve"> </w:t>
      </w:r>
      <w:r w:rsidRPr="43B5565D" w:rsidR="427B1A4D">
        <w:rPr>
          <w:rFonts w:ascii="Arial Nova" w:hAnsi="Arial Nova" w:eastAsia="Calibri"/>
          <w:sz w:val="24"/>
          <w:szCs w:val="24"/>
        </w:rPr>
        <w:t>Process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5439"/>
        <w:gridCol w:w="1849"/>
      </w:tblGrid>
      <w:tr w:rsidR="00765170" w:rsidTr="3C17495F" w14:paraId="0E3FEAA8" w14:textId="77777777">
        <w:tc>
          <w:tcPr>
            <w:tcW w:w="2062" w:type="dxa"/>
            <w:tcMar/>
          </w:tcPr>
          <w:p w:rsidRPr="00102511" w:rsidR="00765170" w:rsidP="00856C4A" w:rsidRDefault="00765170" w14:paraId="7FF82C07" w14:textId="18012DB0">
            <w:pPr>
              <w:jc w:val="center"/>
              <w:rPr>
                <w:rFonts w:ascii="Arial Nova" w:hAnsi="Arial Nova"/>
                <w:b/>
                <w:bCs/>
              </w:rPr>
            </w:pPr>
            <w:r w:rsidRPr="00102511">
              <w:rPr>
                <w:rFonts w:ascii="Arial Nova" w:hAnsi="Arial Nova"/>
                <w:b/>
                <w:bCs/>
              </w:rPr>
              <w:t>Timeline</w:t>
            </w:r>
          </w:p>
        </w:tc>
        <w:tc>
          <w:tcPr>
            <w:tcW w:w="5439" w:type="dxa"/>
            <w:tcMar/>
          </w:tcPr>
          <w:p w:rsidRPr="00102511" w:rsidR="00765170" w:rsidP="00856C4A" w:rsidRDefault="00765170" w14:paraId="04921949" w14:textId="3C6814F1">
            <w:pPr>
              <w:jc w:val="center"/>
              <w:rPr>
                <w:rFonts w:ascii="Arial Nova" w:hAnsi="Arial Nova"/>
                <w:b/>
                <w:bCs/>
              </w:rPr>
            </w:pPr>
            <w:r w:rsidRPr="00102511">
              <w:rPr>
                <w:rFonts w:ascii="Arial Nova" w:hAnsi="Arial Nova"/>
                <w:b/>
                <w:bCs/>
              </w:rPr>
              <w:t xml:space="preserve">Procedure </w:t>
            </w:r>
          </w:p>
        </w:tc>
        <w:tc>
          <w:tcPr>
            <w:tcW w:w="1849" w:type="dxa"/>
            <w:tcMar/>
          </w:tcPr>
          <w:p w:rsidRPr="00102511" w:rsidR="00765170" w:rsidP="003C6A86" w:rsidRDefault="003C6A86" w14:paraId="73E0B300" w14:textId="0EB432DC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Personnel List</w:t>
            </w:r>
          </w:p>
        </w:tc>
      </w:tr>
      <w:tr w:rsidR="00540A9F" w:rsidTr="3C17495F" w14:paraId="2631AC9F" w14:textId="77777777">
        <w:tc>
          <w:tcPr>
            <w:tcW w:w="2062" w:type="dxa"/>
            <w:vMerge w:val="restart"/>
            <w:shd w:val="clear" w:color="auto" w:fill="FFF2CC" w:themeFill="accent4" w:themeFillTint="33"/>
            <w:tcMar/>
          </w:tcPr>
          <w:p w:rsidRPr="00102511" w:rsidR="00540A9F" w:rsidP="00765170" w:rsidRDefault="00540A9F" w14:paraId="695F996B" w14:textId="77777777">
            <w:pPr>
              <w:jc w:val="center"/>
              <w:rPr>
                <w:rFonts w:ascii="Arial Nova" w:hAnsi="Arial Nova"/>
                <w:b/>
                <w:bCs/>
              </w:rPr>
            </w:pPr>
          </w:p>
          <w:p w:rsidRPr="00102511" w:rsidR="00540A9F" w:rsidP="00765170" w:rsidRDefault="00540A9F" w14:paraId="38D10947" w14:textId="77777777">
            <w:pPr>
              <w:jc w:val="center"/>
              <w:rPr>
                <w:rFonts w:ascii="Arial Nova" w:hAnsi="Arial Nova"/>
                <w:b/>
                <w:bCs/>
              </w:rPr>
            </w:pPr>
          </w:p>
          <w:p w:rsidRPr="00102511" w:rsidR="00540A9F" w:rsidP="00765170" w:rsidRDefault="00540A9F" w14:paraId="1329533F" w14:textId="77777777">
            <w:pPr>
              <w:jc w:val="center"/>
              <w:rPr>
                <w:rFonts w:ascii="Arial Nova" w:hAnsi="Arial Nova"/>
                <w:b/>
                <w:bCs/>
              </w:rPr>
            </w:pPr>
          </w:p>
          <w:p w:rsidRPr="00102511" w:rsidR="00540A9F" w:rsidP="00765170" w:rsidRDefault="00540A9F" w14:paraId="372B5577" w14:textId="77777777">
            <w:pPr>
              <w:jc w:val="center"/>
              <w:rPr>
                <w:rFonts w:ascii="Arial Nova" w:hAnsi="Arial Nova"/>
                <w:b/>
                <w:bCs/>
              </w:rPr>
            </w:pPr>
          </w:p>
          <w:p w:rsidRPr="00102511" w:rsidR="00540A9F" w:rsidP="00765170" w:rsidRDefault="00540A9F" w14:paraId="3C23FDA7" w14:textId="77777777">
            <w:pPr>
              <w:jc w:val="center"/>
              <w:rPr>
                <w:rFonts w:ascii="Arial Nova" w:hAnsi="Arial Nova"/>
                <w:b/>
                <w:bCs/>
              </w:rPr>
            </w:pPr>
          </w:p>
          <w:p w:rsidRPr="00102511" w:rsidR="00540A9F" w:rsidP="00765170" w:rsidRDefault="00540A9F" w14:paraId="23333D27" w14:textId="77777777">
            <w:pPr>
              <w:jc w:val="center"/>
              <w:rPr>
                <w:rFonts w:ascii="Arial Nova" w:hAnsi="Arial Nova"/>
                <w:b/>
                <w:bCs/>
              </w:rPr>
            </w:pPr>
          </w:p>
          <w:p w:rsidRPr="00102511" w:rsidR="00540A9F" w:rsidP="00765170" w:rsidRDefault="00540A9F" w14:paraId="2DB37980" w14:textId="77777777">
            <w:pPr>
              <w:jc w:val="center"/>
              <w:rPr>
                <w:rFonts w:ascii="Arial Nova" w:hAnsi="Arial Nova"/>
                <w:b/>
                <w:bCs/>
              </w:rPr>
            </w:pPr>
          </w:p>
          <w:p w:rsidRPr="00102511" w:rsidR="00540A9F" w:rsidP="00765170" w:rsidRDefault="00540A9F" w14:paraId="35DBA432" w14:textId="77777777">
            <w:pPr>
              <w:jc w:val="center"/>
              <w:rPr>
                <w:rFonts w:ascii="Arial Nova" w:hAnsi="Arial Nova"/>
                <w:b/>
                <w:bCs/>
              </w:rPr>
            </w:pPr>
          </w:p>
          <w:p w:rsidRPr="00102511" w:rsidR="00540A9F" w:rsidP="00765170" w:rsidRDefault="00540A9F" w14:paraId="6C5C49B2" w14:textId="77777777">
            <w:pPr>
              <w:jc w:val="center"/>
              <w:rPr>
                <w:rFonts w:ascii="Arial Nova" w:hAnsi="Arial Nova"/>
                <w:b/>
                <w:bCs/>
              </w:rPr>
            </w:pPr>
          </w:p>
          <w:p w:rsidRPr="00102511" w:rsidR="00540A9F" w:rsidP="00765170" w:rsidRDefault="00540A9F" w14:paraId="58B168D9" w14:textId="77777777">
            <w:pPr>
              <w:jc w:val="center"/>
              <w:rPr>
                <w:rFonts w:ascii="Arial Nova" w:hAnsi="Arial Nova"/>
                <w:b/>
                <w:bCs/>
              </w:rPr>
            </w:pPr>
          </w:p>
          <w:p w:rsidRPr="00102511" w:rsidR="00540A9F" w:rsidP="00765170" w:rsidRDefault="00540A9F" w14:paraId="6FF274C0" w14:textId="77777777">
            <w:pPr>
              <w:jc w:val="center"/>
              <w:rPr>
                <w:rFonts w:ascii="Arial Nova" w:hAnsi="Arial Nova"/>
                <w:b/>
                <w:bCs/>
              </w:rPr>
            </w:pPr>
          </w:p>
          <w:p w:rsidRPr="00102511" w:rsidR="00540A9F" w:rsidP="00765170" w:rsidRDefault="00540A9F" w14:paraId="1D580A7E" w14:textId="77777777">
            <w:pPr>
              <w:jc w:val="center"/>
              <w:rPr>
                <w:rFonts w:ascii="Arial Nova" w:hAnsi="Arial Nova"/>
                <w:b/>
                <w:bCs/>
              </w:rPr>
            </w:pPr>
          </w:p>
          <w:p w:rsidRPr="00102511" w:rsidR="00540A9F" w:rsidP="00765170" w:rsidRDefault="00540A9F" w14:paraId="61D7D1FF" w14:textId="77777777">
            <w:pPr>
              <w:jc w:val="center"/>
              <w:rPr>
                <w:rFonts w:ascii="Arial Nova" w:hAnsi="Arial Nova"/>
                <w:b/>
                <w:bCs/>
              </w:rPr>
            </w:pPr>
          </w:p>
          <w:p w:rsidRPr="00102511" w:rsidR="00540A9F" w:rsidP="00765170" w:rsidRDefault="00540A9F" w14:paraId="2A55A5C4" w14:textId="77777777">
            <w:pPr>
              <w:jc w:val="center"/>
              <w:rPr>
                <w:rFonts w:ascii="Arial Nova" w:hAnsi="Arial Nova"/>
                <w:b/>
                <w:bCs/>
              </w:rPr>
            </w:pPr>
          </w:p>
          <w:p w:rsidRPr="00102511" w:rsidR="00540A9F" w:rsidP="00765170" w:rsidRDefault="00540A9F" w14:paraId="4F414CCF" w14:textId="77777777">
            <w:pPr>
              <w:jc w:val="center"/>
              <w:rPr>
                <w:rFonts w:ascii="Arial Nova" w:hAnsi="Arial Nova"/>
                <w:b/>
                <w:bCs/>
              </w:rPr>
            </w:pPr>
          </w:p>
          <w:p w:rsidRPr="00102511" w:rsidR="00540A9F" w:rsidP="00765170" w:rsidRDefault="000E7667" w14:paraId="341E0D63" w14:textId="23D82E4F">
            <w:pPr>
              <w:jc w:val="center"/>
              <w:rPr>
                <w:rFonts w:ascii="Arial Nova" w:hAnsi="Arial Nova"/>
                <w:b/>
                <w:bCs/>
              </w:rPr>
            </w:pPr>
            <w:r w:rsidRPr="00102511">
              <w:rPr>
                <w:rFonts w:ascii="Arial Nova" w:hAnsi="Arial Nova"/>
                <w:b/>
                <w:bCs/>
              </w:rPr>
              <w:t>Administrative quality checks prior to substance administration</w:t>
            </w:r>
          </w:p>
          <w:p w:rsidRPr="00102511" w:rsidR="00540A9F" w:rsidP="00765170" w:rsidRDefault="00540A9F" w14:paraId="08CD36E2" w14:textId="008AEABF">
            <w:pPr>
              <w:jc w:val="center"/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FFF2CC" w:themeFill="accent4" w:themeFillTint="33"/>
            <w:tcMar/>
          </w:tcPr>
          <w:p w:rsidRPr="00765170" w:rsidR="00540A9F" w:rsidP="00856C4A" w:rsidRDefault="00540A9F" w14:paraId="3B843EB7" w14:textId="6EBDF782">
            <w:pPr>
              <w:rPr>
                <w:rFonts w:ascii="Arial Nova" w:hAnsi="Arial Nova"/>
              </w:rPr>
            </w:pPr>
            <w:r w:rsidRPr="00765170">
              <w:rPr>
                <w:rFonts w:ascii="Arial Nova" w:hAnsi="Arial Nova"/>
              </w:rPr>
              <w:t>Confirmation of patient consultation with provider. Patient understands the treatment plan and therapeutic information.</w:t>
            </w:r>
          </w:p>
          <w:p w:rsidRPr="00765170" w:rsidR="00540A9F" w:rsidP="00856C4A" w:rsidRDefault="00540A9F" w14:paraId="7AEFAD23" w14:textId="095B8DAA" w14:noSpellErr="1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</w:rPr>
            </w:pPr>
            <w:r w:rsidRPr="3C17495F" w:rsidR="00540A9F">
              <w:rPr>
                <w:rFonts w:ascii="Arial Nova" w:hAnsi="Arial Nova"/>
              </w:rPr>
              <w:t xml:space="preserve">Verify written informed consent was </w:t>
            </w:r>
            <w:r w:rsidRPr="3C17495F" w:rsidR="00540A9F">
              <w:rPr>
                <w:rFonts w:ascii="Arial Nova" w:hAnsi="Arial Nova"/>
              </w:rPr>
              <w:t>signed</w:t>
            </w:r>
            <w:r w:rsidRPr="3C17495F" w:rsidR="00540A9F">
              <w:rPr>
                <w:rFonts w:ascii="Arial Nova" w:hAnsi="Arial Nova"/>
              </w:rPr>
              <w:t xml:space="preserve"> and obtained at the time of consultation</w:t>
            </w:r>
            <w:r w:rsidRPr="3C17495F" w:rsidR="00371390">
              <w:rPr>
                <w:rFonts w:ascii="Arial Nova" w:hAnsi="Arial Nova"/>
              </w:rPr>
              <w:t xml:space="preserve"> or before first </w:t>
            </w:r>
            <w:r w:rsidRPr="3C17495F" w:rsidR="00371390">
              <w:rPr>
                <w:rFonts w:ascii="Arial Nova" w:hAnsi="Arial Nova"/>
              </w:rPr>
              <w:t>infusion</w:t>
            </w:r>
            <w:r w:rsidRPr="3C17495F" w:rsidR="00540A9F">
              <w:rPr>
                <w:rFonts w:ascii="Arial Nova" w:hAnsi="Arial Nova"/>
              </w:rPr>
              <w:t xml:space="preserve">. </w:t>
            </w:r>
          </w:p>
          <w:p w:rsidRPr="00765170" w:rsidR="00540A9F" w:rsidP="00765170" w:rsidRDefault="00540A9F" w14:paraId="019FD897" w14:textId="5CEDAA85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</w:rPr>
            </w:pPr>
            <w:r w:rsidRPr="00765170">
              <w:rPr>
                <w:rFonts w:ascii="Arial Nova" w:hAnsi="Arial Nova"/>
              </w:rPr>
              <w:t xml:space="preserve">Confirm patient has nurse coordinator contact information for follow up questions. </w:t>
            </w:r>
          </w:p>
        </w:tc>
        <w:tc>
          <w:tcPr>
            <w:tcW w:w="1849" w:type="dxa"/>
            <w:shd w:val="clear" w:color="auto" w:fill="FFF2CC" w:themeFill="accent4" w:themeFillTint="33"/>
            <w:tcMar/>
          </w:tcPr>
          <w:p w:rsidRPr="00765170" w:rsidR="00540A9F" w:rsidP="00856C4A" w:rsidRDefault="00540A9F" w14:paraId="6C44CB21" w14:textId="7C8BA047">
            <w:pPr>
              <w:rPr>
                <w:rFonts w:ascii="Arial Nova" w:hAnsi="Arial Nova"/>
              </w:rPr>
            </w:pPr>
          </w:p>
        </w:tc>
      </w:tr>
      <w:tr w:rsidR="00540A9F" w:rsidTr="3C17495F" w14:paraId="76E37624" w14:textId="77777777">
        <w:tc>
          <w:tcPr>
            <w:tcW w:w="2062" w:type="dxa"/>
            <w:vMerge/>
            <w:tcMar/>
          </w:tcPr>
          <w:p w:rsidRPr="00102511" w:rsidR="00540A9F" w:rsidP="00856C4A" w:rsidRDefault="00540A9F" w14:paraId="17DEDA75" w14:textId="77777777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FFF2CC" w:themeFill="accent4" w:themeFillTint="33"/>
            <w:tcMar/>
          </w:tcPr>
          <w:p w:rsidRPr="00765170" w:rsidR="00540A9F" w:rsidP="00856C4A" w:rsidRDefault="00540A9F" w14:paraId="4519F8FC" w14:textId="7082EBB7">
            <w:pPr>
              <w:rPr>
                <w:rFonts w:ascii="Arial Nova" w:hAnsi="Arial Nova"/>
              </w:rPr>
            </w:pPr>
            <w:r w:rsidRPr="3C17495F" w:rsidR="00540A9F">
              <w:rPr>
                <w:rFonts w:ascii="Arial Nova" w:hAnsi="Arial Nova"/>
              </w:rPr>
              <w:t xml:space="preserve">Confirmation of laboratory test prior to infusion. </w:t>
            </w:r>
            <w:r w:rsidRPr="3C17495F" w:rsidR="00371390">
              <w:rPr>
                <w:rFonts w:ascii="Arial Nova" w:hAnsi="Arial Nova"/>
              </w:rPr>
              <w:t>At a minimum, l</w:t>
            </w:r>
            <w:r w:rsidRPr="3C17495F" w:rsidR="00540A9F">
              <w:rPr>
                <w:rFonts w:ascii="Arial Nova" w:hAnsi="Arial Nova"/>
              </w:rPr>
              <w:t xml:space="preserve">abs must be evaluated 2-4 weeks prior to </w:t>
            </w:r>
            <w:r w:rsidRPr="3C17495F" w:rsidR="00540A9F">
              <w:rPr>
                <w:rFonts w:ascii="Arial Nova" w:hAnsi="Arial Nova"/>
              </w:rPr>
              <w:t>administration</w:t>
            </w:r>
            <w:r w:rsidRPr="3C17495F" w:rsidR="00540A9F">
              <w:rPr>
                <w:rFonts w:ascii="Arial Nova" w:hAnsi="Arial Nova"/>
              </w:rPr>
              <w:t>.</w:t>
            </w:r>
          </w:p>
        </w:tc>
        <w:tc>
          <w:tcPr>
            <w:tcW w:w="1849" w:type="dxa"/>
            <w:shd w:val="clear" w:color="auto" w:fill="FFF2CC" w:themeFill="accent4" w:themeFillTint="33"/>
            <w:tcMar/>
          </w:tcPr>
          <w:p w:rsidRPr="00765170" w:rsidR="00540A9F" w:rsidP="00856C4A" w:rsidRDefault="00540A9F" w14:paraId="1071C01B" w14:textId="0F9259CC">
            <w:pPr>
              <w:rPr>
                <w:rFonts w:ascii="Arial Nova" w:hAnsi="Arial Nova"/>
              </w:rPr>
            </w:pPr>
          </w:p>
        </w:tc>
      </w:tr>
      <w:tr w:rsidR="00540A9F" w:rsidTr="3C17495F" w14:paraId="6FC8CCF9" w14:textId="77777777">
        <w:tc>
          <w:tcPr>
            <w:tcW w:w="2062" w:type="dxa"/>
            <w:vMerge/>
            <w:tcMar/>
          </w:tcPr>
          <w:p w:rsidRPr="00102511" w:rsidR="00540A9F" w:rsidP="00856C4A" w:rsidRDefault="00540A9F" w14:paraId="60955CEB" w14:textId="77777777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FFF2CC" w:themeFill="accent4" w:themeFillTint="33"/>
            <w:tcMar/>
          </w:tcPr>
          <w:p w:rsidRPr="00765170" w:rsidR="00540A9F" w:rsidP="00856C4A" w:rsidRDefault="00540A9F" w14:paraId="7F64D470" w14:textId="5B6F86DB">
            <w:pPr>
              <w:rPr>
                <w:rFonts w:ascii="Arial Nova" w:hAnsi="Arial Nova"/>
              </w:rPr>
            </w:pPr>
            <w:r w:rsidRPr="00765170">
              <w:rPr>
                <w:rFonts w:ascii="Arial Nova" w:hAnsi="Arial Nova"/>
              </w:rPr>
              <w:t>The written directive has been completed and signed by the authorized user and contains the following information:</w:t>
            </w:r>
          </w:p>
          <w:p w:rsidRPr="00765170" w:rsidR="00540A9F" w:rsidP="00856C4A" w:rsidRDefault="00540A9F" w14:paraId="02E09E45" w14:textId="4215B727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</w:rPr>
            </w:pPr>
            <w:r w:rsidRPr="00765170">
              <w:rPr>
                <w:rFonts w:ascii="Arial Nova" w:hAnsi="Arial Nova"/>
              </w:rPr>
              <w:t>Patient Name</w:t>
            </w:r>
          </w:p>
          <w:p w:rsidRPr="00765170" w:rsidR="00540A9F" w:rsidP="00856C4A" w:rsidRDefault="00540A9F" w14:paraId="2BB3542B" w14:textId="018B44C8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</w:rPr>
            </w:pPr>
            <w:r w:rsidRPr="00765170">
              <w:rPr>
                <w:rFonts w:ascii="Arial Nova" w:hAnsi="Arial Nova"/>
              </w:rPr>
              <w:t xml:space="preserve">Radiopharmaceutical </w:t>
            </w:r>
          </w:p>
          <w:p w:rsidRPr="00765170" w:rsidR="00540A9F" w:rsidP="00856C4A" w:rsidRDefault="00540A9F" w14:paraId="0FC40B44" w14:textId="47BB2FD8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</w:rPr>
            </w:pPr>
            <w:r w:rsidRPr="00765170">
              <w:rPr>
                <w:rFonts w:ascii="Arial Nova" w:hAnsi="Arial Nova"/>
              </w:rPr>
              <w:t>Exact dosage</w:t>
            </w:r>
          </w:p>
          <w:p w:rsidRPr="00765170" w:rsidR="00540A9F" w:rsidP="00856C4A" w:rsidRDefault="00540A9F" w14:paraId="43CBFB07" w14:textId="650CE485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</w:rPr>
            </w:pPr>
            <w:r w:rsidRPr="00765170">
              <w:rPr>
                <w:rFonts w:ascii="Arial Nova" w:hAnsi="Arial Nova"/>
              </w:rPr>
              <w:t>Route of administration</w:t>
            </w:r>
          </w:p>
          <w:p w:rsidRPr="00765170" w:rsidR="00540A9F" w:rsidP="00856C4A" w:rsidRDefault="00540A9F" w14:paraId="1BE73036" w14:textId="34FCE356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</w:rPr>
            </w:pPr>
            <w:r w:rsidRPr="00765170">
              <w:rPr>
                <w:rFonts w:ascii="Arial Nova" w:hAnsi="Arial Nova"/>
              </w:rPr>
              <w:t>Date</w:t>
            </w:r>
          </w:p>
        </w:tc>
        <w:tc>
          <w:tcPr>
            <w:tcW w:w="1849" w:type="dxa"/>
            <w:shd w:val="clear" w:color="auto" w:fill="FFF2CC" w:themeFill="accent4" w:themeFillTint="33"/>
            <w:tcMar/>
          </w:tcPr>
          <w:p w:rsidRPr="00765170" w:rsidR="00540A9F" w:rsidP="00856C4A" w:rsidRDefault="00540A9F" w14:paraId="0F31424A" w14:textId="77777777">
            <w:pPr>
              <w:rPr>
                <w:rFonts w:ascii="Arial Nova" w:hAnsi="Arial Nova"/>
              </w:rPr>
            </w:pPr>
          </w:p>
        </w:tc>
      </w:tr>
      <w:tr w:rsidR="00540A9F" w:rsidTr="3C17495F" w14:paraId="26DC874A" w14:textId="77777777">
        <w:tc>
          <w:tcPr>
            <w:tcW w:w="2062" w:type="dxa"/>
            <w:vMerge/>
            <w:tcMar/>
          </w:tcPr>
          <w:p w:rsidRPr="00102511" w:rsidR="00540A9F" w:rsidP="00856C4A" w:rsidRDefault="00540A9F" w14:paraId="5E1F7CD2" w14:textId="77777777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FFF2CC" w:themeFill="accent4" w:themeFillTint="33"/>
            <w:tcMar/>
          </w:tcPr>
          <w:p w:rsidRPr="00765170" w:rsidR="00540A9F" w:rsidP="00856C4A" w:rsidRDefault="00540A9F" w14:paraId="0F3834F9" w14:textId="189FF514">
            <w:pPr>
              <w:rPr>
                <w:rFonts w:ascii="Arial Nova" w:hAnsi="Arial Nova"/>
              </w:rPr>
            </w:pPr>
            <w:r w:rsidRPr="3C17495F" w:rsidR="00540A9F">
              <w:rPr>
                <w:rFonts w:ascii="Arial Nova" w:hAnsi="Arial Nova"/>
              </w:rPr>
              <w:t>Verify that female patients of childb</w:t>
            </w:r>
            <w:r w:rsidRPr="3C17495F" w:rsidR="001A5BE2">
              <w:rPr>
                <w:rFonts w:ascii="Arial Nova" w:hAnsi="Arial Nova"/>
              </w:rPr>
              <w:t>e</w:t>
            </w:r>
            <w:r w:rsidRPr="3C17495F" w:rsidR="00540A9F">
              <w:rPr>
                <w:rFonts w:ascii="Arial Nova" w:hAnsi="Arial Nova"/>
              </w:rPr>
              <w:t xml:space="preserve">aring potential were screened for potential positive pregnancy </w:t>
            </w:r>
            <w:r w:rsidRPr="3C17495F" w:rsidR="7F5A6C27">
              <w:rPr>
                <w:rFonts w:ascii="Arial Nova" w:hAnsi="Arial Nova"/>
              </w:rPr>
              <w:t>24-72</w:t>
            </w:r>
            <w:r w:rsidRPr="3C17495F" w:rsidR="00540A9F">
              <w:rPr>
                <w:rFonts w:ascii="Arial Nova" w:hAnsi="Arial Nova"/>
              </w:rPr>
              <w:t xml:space="preserve"> </w:t>
            </w:r>
            <w:r w:rsidRPr="3C17495F" w:rsidR="00540A9F">
              <w:rPr>
                <w:rFonts w:ascii="Arial Nova" w:hAnsi="Arial Nova"/>
              </w:rPr>
              <w:t>hours prior to administration.</w:t>
            </w:r>
          </w:p>
        </w:tc>
        <w:tc>
          <w:tcPr>
            <w:tcW w:w="1849" w:type="dxa"/>
            <w:shd w:val="clear" w:color="auto" w:fill="FFF2CC" w:themeFill="accent4" w:themeFillTint="33"/>
            <w:tcMar/>
          </w:tcPr>
          <w:p w:rsidRPr="00765170" w:rsidR="00540A9F" w:rsidP="00856C4A" w:rsidRDefault="00540A9F" w14:paraId="7A54EB87" w14:textId="77777777">
            <w:pPr>
              <w:rPr>
                <w:rFonts w:ascii="Arial Nova" w:hAnsi="Arial Nova"/>
              </w:rPr>
            </w:pPr>
          </w:p>
        </w:tc>
      </w:tr>
      <w:tr w:rsidR="00540A9F" w:rsidTr="3C17495F" w14:paraId="7EDAB6C0" w14:textId="77777777">
        <w:tc>
          <w:tcPr>
            <w:tcW w:w="2062" w:type="dxa"/>
            <w:vMerge/>
            <w:tcMar/>
          </w:tcPr>
          <w:p w:rsidRPr="00102511" w:rsidR="00540A9F" w:rsidP="00856C4A" w:rsidRDefault="00540A9F" w14:paraId="25100BC4" w14:textId="77777777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FFF2CC" w:themeFill="accent4" w:themeFillTint="33"/>
            <w:tcMar/>
          </w:tcPr>
          <w:p w:rsidRPr="00765170" w:rsidR="00540A9F" w:rsidP="00856C4A" w:rsidRDefault="00371390" w14:paraId="73A03292" w14:textId="5C14F900" w14:noSpellErr="1">
            <w:pPr>
              <w:rPr>
                <w:rFonts w:ascii="Arial Nova" w:hAnsi="Arial Nova"/>
              </w:rPr>
            </w:pPr>
            <w:r w:rsidRPr="3C17495F" w:rsidR="00371390">
              <w:rPr>
                <w:rFonts w:ascii="Arial Nova" w:hAnsi="Arial Nova"/>
              </w:rPr>
              <w:t xml:space="preserve">Confirm that the correct </w:t>
            </w:r>
            <w:r w:rsidRPr="3C17495F" w:rsidR="00371390">
              <w:rPr>
                <w:rFonts w:ascii="Arial Nova" w:hAnsi="Arial Nova"/>
              </w:rPr>
              <w:t>radiopharmaceutical</w:t>
            </w:r>
            <w:r w:rsidRPr="3C17495F" w:rsidR="00371390">
              <w:rPr>
                <w:rFonts w:ascii="Arial Nova" w:hAnsi="Arial Nova"/>
              </w:rPr>
              <w:t xml:space="preserve"> </w:t>
            </w:r>
            <w:r w:rsidRPr="3C17495F" w:rsidR="00371390">
              <w:rPr>
                <w:rFonts w:ascii="Arial Nova" w:hAnsi="Arial Nova"/>
              </w:rPr>
              <w:t>matches</w:t>
            </w:r>
            <w:r w:rsidRPr="3C17495F" w:rsidR="00371390">
              <w:rPr>
                <w:rFonts w:ascii="Arial Nova" w:hAnsi="Arial Nova"/>
              </w:rPr>
              <w:t xml:space="preserve"> </w:t>
            </w:r>
            <w:r w:rsidRPr="3C17495F" w:rsidR="00371390">
              <w:rPr>
                <w:rFonts w:ascii="Arial Nova" w:hAnsi="Arial Nova"/>
              </w:rPr>
              <w:t xml:space="preserve">the patient’s script to avoid misadministration. </w:t>
            </w:r>
            <w:r w:rsidRPr="3C17495F" w:rsidR="00540A9F">
              <w:rPr>
                <w:rFonts w:ascii="Arial Nova" w:hAnsi="Arial Nova"/>
              </w:rPr>
              <w:t>Ensure packaging has been inspected for potential damage</w:t>
            </w:r>
            <w:r w:rsidRPr="3C17495F" w:rsidR="00E23442">
              <w:rPr>
                <w:rFonts w:ascii="Arial Nova" w:hAnsi="Arial Nova"/>
              </w:rPr>
              <w:t xml:space="preserve">, </w:t>
            </w:r>
            <w:r w:rsidRPr="3C17495F" w:rsidR="00E23442">
              <w:rPr>
                <w:rFonts w:ascii="Arial Nova" w:hAnsi="Arial Nova"/>
              </w:rPr>
              <w:t>surveyed</w:t>
            </w:r>
            <w:r w:rsidRPr="3C17495F" w:rsidR="00E23442">
              <w:rPr>
                <w:rFonts w:ascii="Arial Nova" w:hAnsi="Arial Nova"/>
              </w:rPr>
              <w:t xml:space="preserve"> and </w:t>
            </w:r>
            <w:r w:rsidRPr="3C17495F" w:rsidR="003C6A86">
              <w:rPr>
                <w:rFonts w:ascii="Arial Nova" w:hAnsi="Arial Nova"/>
              </w:rPr>
              <w:t>received according</w:t>
            </w:r>
            <w:r w:rsidRPr="3C17495F" w:rsidR="00E23442">
              <w:rPr>
                <w:rFonts w:ascii="Arial Nova" w:hAnsi="Arial Nova"/>
              </w:rPr>
              <w:t xml:space="preserve"> to local regulations and institutional guidelines</w:t>
            </w:r>
            <w:r w:rsidRPr="3C17495F" w:rsidR="00540A9F">
              <w:rPr>
                <w:rFonts w:ascii="Arial Nova" w:hAnsi="Arial Nova"/>
              </w:rPr>
              <w:t xml:space="preserve">.  </w:t>
            </w:r>
          </w:p>
        </w:tc>
        <w:tc>
          <w:tcPr>
            <w:tcW w:w="1849" w:type="dxa"/>
            <w:shd w:val="clear" w:color="auto" w:fill="FFF2CC" w:themeFill="accent4" w:themeFillTint="33"/>
            <w:tcMar/>
          </w:tcPr>
          <w:p w:rsidRPr="00765170" w:rsidR="00540A9F" w:rsidP="00856C4A" w:rsidRDefault="00540A9F" w14:paraId="63C1049C" w14:textId="77777777">
            <w:pPr>
              <w:rPr>
                <w:rFonts w:ascii="Arial Nova" w:hAnsi="Arial Nova"/>
              </w:rPr>
            </w:pPr>
          </w:p>
        </w:tc>
      </w:tr>
      <w:tr w:rsidR="00540A9F" w:rsidTr="3C17495F" w14:paraId="3E6E23C6" w14:textId="77777777">
        <w:tc>
          <w:tcPr>
            <w:tcW w:w="2062" w:type="dxa"/>
            <w:vMerge/>
            <w:tcMar/>
          </w:tcPr>
          <w:p w:rsidRPr="00102511" w:rsidR="00540A9F" w:rsidP="00856C4A" w:rsidRDefault="00540A9F" w14:paraId="0819E2C8" w14:textId="77777777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FFF2CC" w:themeFill="accent4" w:themeFillTint="33"/>
            <w:tcMar/>
          </w:tcPr>
          <w:p w:rsidR="00540A9F" w:rsidP="00856C4A" w:rsidRDefault="00540A9F" w14:paraId="641DCA1A" w14:textId="2D000AAB" w14:noSpellErr="1">
            <w:pPr>
              <w:rPr>
                <w:rFonts w:ascii="Arial Nova" w:hAnsi="Arial Nova"/>
              </w:rPr>
            </w:pPr>
            <w:r w:rsidRPr="3C17495F" w:rsidR="00540A9F">
              <w:rPr>
                <w:rFonts w:ascii="Arial Nova" w:hAnsi="Arial Nova"/>
              </w:rPr>
              <w:t xml:space="preserve">Confirm the correct amount of radioactivity in the radiopharmaceutical vial. </w:t>
            </w:r>
            <w:r w:rsidRPr="3C17495F" w:rsidR="00540A9F">
              <w:rPr>
                <w:rFonts w:ascii="Arial Nova" w:hAnsi="Arial Nova"/>
              </w:rPr>
              <w:t>This</w:t>
            </w:r>
            <w:r w:rsidRPr="3C17495F" w:rsidR="00540A9F">
              <w:rPr>
                <w:rFonts w:ascii="Arial Nova" w:hAnsi="Arial Nova"/>
              </w:rPr>
              <w:t xml:space="preserve"> must be measured with a dose calibrator prior </w:t>
            </w:r>
            <w:r w:rsidRPr="3C17495F" w:rsidR="00540A9F">
              <w:rPr>
                <w:rFonts w:ascii="Arial Nova" w:hAnsi="Arial Nova"/>
              </w:rPr>
              <w:t>to infusion to confirm that the actual amount of radioactivity to be administered is equal to the planned amount at the infusion time.</w:t>
            </w:r>
          </w:p>
        </w:tc>
        <w:tc>
          <w:tcPr>
            <w:tcW w:w="1849" w:type="dxa"/>
            <w:shd w:val="clear" w:color="auto" w:fill="FFF2CC" w:themeFill="accent4" w:themeFillTint="33"/>
            <w:tcMar/>
          </w:tcPr>
          <w:p w:rsidRPr="00765170" w:rsidR="00540A9F" w:rsidP="00856C4A" w:rsidRDefault="00540A9F" w14:paraId="65DF312B" w14:textId="77777777">
            <w:pPr>
              <w:rPr>
                <w:rFonts w:ascii="Arial Nova" w:hAnsi="Arial Nova"/>
              </w:rPr>
            </w:pPr>
          </w:p>
        </w:tc>
      </w:tr>
      <w:tr w:rsidR="00540A9F" w:rsidTr="3C17495F" w14:paraId="2EEAAC63" w14:textId="77777777">
        <w:tc>
          <w:tcPr>
            <w:tcW w:w="2062" w:type="dxa"/>
            <w:vMerge/>
            <w:tcMar/>
          </w:tcPr>
          <w:p w:rsidRPr="00102511" w:rsidR="00540A9F" w:rsidP="00856C4A" w:rsidRDefault="00540A9F" w14:paraId="43ED9E4A" w14:textId="77777777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FFF2CC" w:themeFill="accent4" w:themeFillTint="33"/>
            <w:tcMar/>
          </w:tcPr>
          <w:p w:rsidR="00540A9F" w:rsidP="00856C4A" w:rsidRDefault="00540A9F" w14:paraId="0DDE456B" w14:textId="76AF000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Ensure safety shields/protocols are in place and follow institutional and regulatory guidelines. </w:t>
            </w:r>
          </w:p>
        </w:tc>
        <w:tc>
          <w:tcPr>
            <w:tcW w:w="1849" w:type="dxa"/>
            <w:shd w:val="clear" w:color="auto" w:fill="FFF2CC" w:themeFill="accent4" w:themeFillTint="33"/>
            <w:tcMar/>
          </w:tcPr>
          <w:p w:rsidRPr="00765170" w:rsidR="00540A9F" w:rsidP="00856C4A" w:rsidRDefault="00540A9F" w14:paraId="2319C6C1" w14:textId="77777777">
            <w:pPr>
              <w:rPr>
                <w:rFonts w:ascii="Arial Nova" w:hAnsi="Arial Nova"/>
              </w:rPr>
            </w:pPr>
          </w:p>
        </w:tc>
      </w:tr>
      <w:tr w:rsidR="00540A9F" w:rsidTr="3C17495F" w14:paraId="43D76AB1" w14:textId="77777777">
        <w:tc>
          <w:tcPr>
            <w:tcW w:w="2062" w:type="dxa"/>
            <w:vMerge/>
            <w:tcMar/>
          </w:tcPr>
          <w:p w:rsidRPr="00102511" w:rsidR="00540A9F" w:rsidP="00856C4A" w:rsidRDefault="00540A9F" w14:paraId="10C8CAFF" w14:textId="77777777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FFF2CC" w:themeFill="accent4" w:themeFillTint="33"/>
            <w:tcMar/>
          </w:tcPr>
          <w:p w:rsidR="00540A9F" w:rsidP="00856C4A" w:rsidRDefault="00540A9F" w14:paraId="79633535" w14:textId="7777777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Ensure the Authorized User is available. </w:t>
            </w:r>
          </w:p>
          <w:p w:rsidR="00540A9F" w:rsidP="00856C4A" w:rsidRDefault="00540A9F" w14:paraId="02204958" w14:textId="36B85CC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*Note: Some states define AU availability differently. Please review your local guidelines to ensure compliance. *</w:t>
            </w:r>
          </w:p>
        </w:tc>
        <w:tc>
          <w:tcPr>
            <w:tcW w:w="1849" w:type="dxa"/>
            <w:shd w:val="clear" w:color="auto" w:fill="FFF2CC" w:themeFill="accent4" w:themeFillTint="33"/>
            <w:tcMar/>
          </w:tcPr>
          <w:p w:rsidRPr="00765170" w:rsidR="00540A9F" w:rsidP="00856C4A" w:rsidRDefault="00540A9F" w14:paraId="2BAA6AFE" w14:textId="77777777">
            <w:pPr>
              <w:rPr>
                <w:rFonts w:ascii="Arial Nova" w:hAnsi="Arial Nova"/>
              </w:rPr>
            </w:pPr>
          </w:p>
        </w:tc>
      </w:tr>
      <w:tr w:rsidR="00540A9F" w:rsidTr="3C17495F" w14:paraId="381CEF5C" w14:textId="77777777">
        <w:tc>
          <w:tcPr>
            <w:tcW w:w="2062" w:type="dxa"/>
            <w:vMerge/>
            <w:tcMar/>
          </w:tcPr>
          <w:p w:rsidRPr="00102511" w:rsidR="00540A9F" w:rsidP="00856C4A" w:rsidRDefault="00540A9F" w14:paraId="0B2FC9E0" w14:textId="77777777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FFF2CC" w:themeFill="accent4" w:themeFillTint="33"/>
            <w:tcMar/>
          </w:tcPr>
          <w:p w:rsidR="00540A9F" w:rsidP="00856C4A" w:rsidRDefault="00540A9F" w14:paraId="544D4C93" w14:textId="7777777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Ensure the patient verification process has been completed. These procedures should be in place at your institution. </w:t>
            </w:r>
          </w:p>
          <w:p w:rsidR="00540A9F" w:rsidP="00856C4A" w:rsidRDefault="00540A9F" w14:paraId="1AD1DB3D" w14:textId="77777777">
            <w:pPr>
              <w:rPr>
                <w:rFonts w:ascii="Arial Nova" w:hAnsi="Arial Nova"/>
              </w:rPr>
            </w:pPr>
          </w:p>
          <w:p w:rsidR="00540A9F" w:rsidP="00856C4A" w:rsidRDefault="00540A9F" w14:paraId="0C3FD819" w14:textId="03A95148" w14:noSpellErr="1">
            <w:pPr>
              <w:rPr>
                <w:rFonts w:ascii="Arial Nova" w:hAnsi="Arial Nova"/>
              </w:rPr>
            </w:pPr>
            <w:r w:rsidRPr="3C17495F" w:rsidR="00540A9F">
              <w:rPr>
                <w:rFonts w:ascii="Arial Nova" w:hAnsi="Arial Nova"/>
              </w:rPr>
              <w:t xml:space="preserve">Patient verification steps should include (but are not limited to) two qualified individuals such as the </w:t>
            </w:r>
            <w:r w:rsidRPr="3C17495F" w:rsidR="15ADBC68">
              <w:rPr>
                <w:rFonts w:ascii="Arial Nova" w:hAnsi="Arial Nova"/>
              </w:rPr>
              <w:t>assigned Nuclear Medicine T</w:t>
            </w:r>
            <w:r w:rsidRPr="3C17495F" w:rsidR="00540A9F">
              <w:rPr>
                <w:rFonts w:ascii="Arial Nova" w:hAnsi="Arial Nova"/>
              </w:rPr>
              <w:t xml:space="preserve">echnologist </w:t>
            </w:r>
            <w:r w:rsidRPr="3C17495F" w:rsidR="00540A9F">
              <w:rPr>
                <w:rFonts w:ascii="Arial Nova" w:hAnsi="Arial Nova"/>
              </w:rPr>
              <w:t>and AU.</w:t>
            </w:r>
            <w:r w:rsidRPr="3C17495F" w:rsidR="00540A9F">
              <w:rPr>
                <w:rFonts w:ascii="Arial Nova" w:hAnsi="Arial Nova"/>
              </w:rPr>
              <w:t xml:space="preserve"> Assigned individuals to complete this task must obtain two forms of patient identification such as</w:t>
            </w:r>
            <w:r w:rsidRPr="3C17495F" w:rsidR="005B2E8E">
              <w:rPr>
                <w:rFonts w:ascii="Arial Nova" w:hAnsi="Arial Nova"/>
              </w:rPr>
              <w:t xml:space="preserve"> name, </w:t>
            </w:r>
            <w:r w:rsidRPr="3C17495F" w:rsidR="0066663E">
              <w:rPr>
                <w:rFonts w:ascii="Arial Nova" w:hAnsi="Arial Nova"/>
              </w:rPr>
              <w:t xml:space="preserve">DOB, </w:t>
            </w:r>
            <w:r w:rsidRPr="3C17495F" w:rsidR="00540A9F">
              <w:rPr>
                <w:rFonts w:ascii="Arial Nova" w:hAnsi="Arial Nova"/>
              </w:rPr>
              <w:t>SSN, d</w:t>
            </w:r>
            <w:r w:rsidRPr="3C17495F" w:rsidR="005B2E8E">
              <w:rPr>
                <w:rFonts w:ascii="Arial Nova" w:hAnsi="Arial Nova"/>
              </w:rPr>
              <w:t>r</w:t>
            </w:r>
            <w:r w:rsidRPr="3C17495F" w:rsidR="00540A9F">
              <w:rPr>
                <w:rFonts w:ascii="Arial Nova" w:hAnsi="Arial Nova"/>
              </w:rPr>
              <w:t>ivers’ license, home address, etc. and verifying that it matches the patient’s wrist band or patient's hospital identification tag.</w:t>
            </w:r>
          </w:p>
          <w:p w:rsidR="00540A9F" w:rsidP="00856C4A" w:rsidRDefault="00540A9F" w14:paraId="4B77AC69" w14:textId="77777777">
            <w:pPr>
              <w:rPr>
                <w:rFonts w:ascii="Arial Nova" w:hAnsi="Arial Nova"/>
              </w:rPr>
            </w:pPr>
          </w:p>
          <w:p w:rsidR="00540A9F" w:rsidP="00856C4A" w:rsidRDefault="00540A9F" w14:paraId="43605757" w14:textId="1C511273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Patient verification information should be documented and </w:t>
            </w:r>
            <w:r w:rsidR="0021497B">
              <w:rPr>
                <w:rFonts w:ascii="Arial Nova" w:hAnsi="Arial Nova"/>
              </w:rPr>
              <w:t>accessible</w:t>
            </w:r>
            <w:r>
              <w:rPr>
                <w:rFonts w:ascii="Arial Nova" w:hAnsi="Arial Nova"/>
              </w:rPr>
              <w:t xml:space="preserve">. </w:t>
            </w:r>
          </w:p>
        </w:tc>
        <w:tc>
          <w:tcPr>
            <w:tcW w:w="1849" w:type="dxa"/>
            <w:shd w:val="clear" w:color="auto" w:fill="FFF2CC" w:themeFill="accent4" w:themeFillTint="33"/>
            <w:tcMar/>
          </w:tcPr>
          <w:p w:rsidRPr="00765170" w:rsidR="00540A9F" w:rsidP="00856C4A" w:rsidRDefault="00540A9F" w14:paraId="62036A96" w14:textId="77777777">
            <w:pPr>
              <w:rPr>
                <w:rFonts w:ascii="Arial Nova" w:hAnsi="Arial Nova"/>
              </w:rPr>
            </w:pPr>
          </w:p>
        </w:tc>
      </w:tr>
      <w:tr w:rsidR="00371390" w:rsidTr="3C17495F" w14:paraId="4E34D3F0" w14:textId="77777777">
        <w:trPr>
          <w:trHeight w:val="300"/>
        </w:trPr>
        <w:tc>
          <w:tcPr>
            <w:tcW w:w="2062" w:type="dxa"/>
            <w:vMerge w:val="restart"/>
            <w:shd w:val="clear" w:color="auto" w:fill="DEEAF6" w:themeFill="accent5" w:themeFillTint="33"/>
            <w:tcMar/>
          </w:tcPr>
          <w:p w:rsidRPr="00102511" w:rsidR="00371390" w:rsidP="00765170" w:rsidRDefault="00371390" w14:paraId="5A364A9E" w14:textId="77777777">
            <w:pPr>
              <w:jc w:val="center"/>
              <w:rPr>
                <w:rFonts w:ascii="Arial Nova" w:hAnsi="Arial Nova"/>
                <w:b/>
                <w:bCs/>
              </w:rPr>
            </w:pPr>
          </w:p>
          <w:p w:rsidRPr="00102511" w:rsidR="00371390" w:rsidP="00765170" w:rsidRDefault="00371390" w14:paraId="6FD96F61" w14:textId="77777777">
            <w:pPr>
              <w:jc w:val="center"/>
              <w:rPr>
                <w:rFonts w:ascii="Arial Nova" w:hAnsi="Arial Nova"/>
                <w:b/>
                <w:bCs/>
              </w:rPr>
            </w:pPr>
          </w:p>
          <w:p w:rsidRPr="00102511" w:rsidR="00371390" w:rsidP="000E7667" w:rsidRDefault="00371390" w14:paraId="0392D03B" w14:textId="77777777">
            <w:pPr>
              <w:rPr>
                <w:rFonts w:ascii="Arial Nova" w:hAnsi="Arial Nova"/>
                <w:b/>
                <w:bCs/>
              </w:rPr>
            </w:pPr>
          </w:p>
          <w:p w:rsidRPr="00102511" w:rsidR="00371390" w:rsidP="000E7667" w:rsidRDefault="00371390" w14:paraId="324B21CE" w14:textId="77777777">
            <w:pPr>
              <w:rPr>
                <w:rFonts w:ascii="Arial Nova" w:hAnsi="Arial Nova"/>
                <w:b/>
                <w:bCs/>
              </w:rPr>
            </w:pPr>
          </w:p>
          <w:p w:rsidRPr="00102511" w:rsidR="00371390" w:rsidP="00765170" w:rsidRDefault="00371390" w14:paraId="719DD3B0" w14:textId="075CA26C" w14:noSpellErr="1">
            <w:pPr>
              <w:jc w:val="center"/>
              <w:rPr>
                <w:rFonts w:ascii="Arial Nova" w:hAnsi="Arial Nova"/>
                <w:b w:val="1"/>
                <w:bCs w:val="1"/>
              </w:rPr>
            </w:pPr>
            <w:r w:rsidRPr="3C17495F" w:rsidR="00371390">
              <w:rPr>
                <w:rFonts w:ascii="Arial Nova" w:hAnsi="Arial Nova"/>
                <w:b w:val="1"/>
                <w:bCs w:val="1"/>
              </w:rPr>
              <w:t>Administration</w:t>
            </w:r>
          </w:p>
        </w:tc>
        <w:tc>
          <w:tcPr>
            <w:tcW w:w="5439" w:type="dxa"/>
            <w:shd w:val="clear" w:color="auto" w:fill="DEEAF6" w:themeFill="accent5" w:themeFillTint="33"/>
            <w:tcMar/>
          </w:tcPr>
          <w:p w:rsidRPr="00371390" w:rsidR="00371390" w:rsidP="00856C4A" w:rsidRDefault="00371390" w14:paraId="4ECEF143" w14:textId="27651956" w14:noSpellErr="1">
            <w:pPr>
              <w:rPr>
                <w:rFonts w:ascii="Arial Nova" w:hAnsi="Arial Nova"/>
              </w:rPr>
            </w:pPr>
            <w:r w:rsidRPr="3C17495F" w:rsidR="00371390">
              <w:rPr>
                <w:rFonts w:ascii="Arial Nova" w:hAnsi="Arial Nova"/>
              </w:rPr>
              <w:t>C</w:t>
            </w:r>
            <w:r w:rsidRPr="3C17495F" w:rsidR="00371390">
              <w:rPr>
                <w:rFonts w:ascii="Arial Nova" w:hAnsi="Arial Nova"/>
              </w:rPr>
              <w:t>onfirm patency of IV access</w:t>
            </w:r>
          </w:p>
        </w:tc>
        <w:tc>
          <w:tcPr>
            <w:tcW w:w="1849" w:type="dxa"/>
            <w:shd w:val="clear" w:color="auto" w:fill="DEEAF6" w:themeFill="accent5" w:themeFillTint="33"/>
            <w:tcMar/>
          </w:tcPr>
          <w:p w:rsidRPr="00765170" w:rsidR="00371390" w:rsidP="00856C4A" w:rsidRDefault="00371390" w14:paraId="740A6796" w14:textId="77777777" w14:noSpellErr="1">
            <w:pPr>
              <w:rPr>
                <w:rFonts w:ascii="Arial Nova" w:hAnsi="Arial Nova"/>
              </w:rPr>
            </w:pPr>
          </w:p>
        </w:tc>
      </w:tr>
      <w:tr w:rsidR="00371390" w:rsidTr="3C17495F" w14:paraId="7F4F8789" w14:textId="77777777">
        <w:tc>
          <w:tcPr>
            <w:tcW w:w="2062" w:type="dxa"/>
            <w:vMerge/>
            <w:tcMar/>
          </w:tcPr>
          <w:p w:rsidRPr="00102511" w:rsidR="00371390" w:rsidP="00765170" w:rsidRDefault="00371390" w14:paraId="45DEAA35" w14:textId="760C8AD0">
            <w:pPr>
              <w:jc w:val="center"/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DEEAF6" w:themeFill="accent5" w:themeFillTint="33"/>
            <w:tcMar/>
          </w:tcPr>
          <w:p w:rsidRPr="00765170" w:rsidR="00371390" w:rsidP="00856C4A" w:rsidRDefault="00371390" w14:paraId="65871CEC" w14:textId="1351093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Administer or verify that patient has started amino acid solution 30 minutes prior to infusion. This intervention must continue for at least 4 hours. </w:t>
            </w:r>
          </w:p>
        </w:tc>
        <w:tc>
          <w:tcPr>
            <w:tcW w:w="1849" w:type="dxa"/>
            <w:shd w:val="clear" w:color="auto" w:fill="DEEAF6" w:themeFill="accent5" w:themeFillTint="33"/>
            <w:tcMar/>
          </w:tcPr>
          <w:p w:rsidRPr="00765170" w:rsidR="00371390" w:rsidP="00856C4A" w:rsidRDefault="00371390" w14:paraId="0B6D6886" w14:textId="77777777">
            <w:pPr>
              <w:rPr>
                <w:rFonts w:ascii="Arial Nova" w:hAnsi="Arial Nova"/>
              </w:rPr>
            </w:pPr>
          </w:p>
        </w:tc>
      </w:tr>
      <w:tr w:rsidR="00371390" w:rsidTr="3C17495F" w14:paraId="310D24EF" w14:textId="77777777">
        <w:trPr>
          <w:trHeight w:val="845"/>
        </w:trPr>
        <w:tc>
          <w:tcPr>
            <w:tcW w:w="2062" w:type="dxa"/>
            <w:vMerge/>
            <w:tcMar/>
          </w:tcPr>
          <w:p w:rsidRPr="00102511" w:rsidR="00371390" w:rsidP="00856C4A" w:rsidRDefault="00371390" w14:paraId="1D82DE7B" w14:textId="77777777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DEEAF6" w:themeFill="accent5" w:themeFillTint="33"/>
            <w:tcMar/>
          </w:tcPr>
          <w:p w:rsidRPr="00765170" w:rsidR="00371390" w:rsidP="00856C4A" w:rsidRDefault="00371390" w14:paraId="290F8F14" w14:textId="75C28601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Administer or verify that patient received anti-nausea and vomiting intervention 30 minutes prior to therapy.</w:t>
            </w:r>
          </w:p>
        </w:tc>
        <w:tc>
          <w:tcPr>
            <w:tcW w:w="1849" w:type="dxa"/>
            <w:shd w:val="clear" w:color="auto" w:fill="DEEAF6" w:themeFill="accent5" w:themeFillTint="33"/>
            <w:tcMar/>
          </w:tcPr>
          <w:p w:rsidRPr="00765170" w:rsidR="00371390" w:rsidP="00856C4A" w:rsidRDefault="00371390" w14:paraId="54F0B2EE" w14:textId="77777777">
            <w:pPr>
              <w:rPr>
                <w:rFonts w:ascii="Arial Nova" w:hAnsi="Arial Nova"/>
              </w:rPr>
            </w:pPr>
          </w:p>
        </w:tc>
      </w:tr>
      <w:tr w:rsidR="00371390" w:rsidTr="3C17495F" w14:paraId="5DB49FA1" w14:textId="77777777">
        <w:trPr>
          <w:trHeight w:val="845"/>
        </w:trPr>
        <w:tc>
          <w:tcPr>
            <w:tcW w:w="2062" w:type="dxa"/>
            <w:vMerge/>
            <w:tcMar/>
          </w:tcPr>
          <w:p w:rsidRPr="00102511" w:rsidR="00371390" w:rsidP="00856C4A" w:rsidRDefault="00371390" w14:paraId="1E04DBF1" w14:textId="77777777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5439" w:type="dxa"/>
            <w:shd w:val="clear" w:color="auto" w:fill="DEEAF6" w:themeFill="accent5" w:themeFillTint="33"/>
            <w:tcMar/>
          </w:tcPr>
          <w:p w:rsidR="00371390" w:rsidP="00856C4A" w:rsidRDefault="00371390" w14:paraId="3B767468" w14:textId="76A4EC94" w14:noSpellErr="1">
            <w:pPr>
              <w:rPr>
                <w:rFonts w:ascii="Arial Nova" w:hAnsi="Arial Nova"/>
              </w:rPr>
            </w:pPr>
            <w:r w:rsidRPr="3C17495F" w:rsidR="00371390">
              <w:rPr>
                <w:rFonts w:ascii="Arial Nova" w:hAnsi="Arial Nova"/>
              </w:rPr>
              <w:t xml:space="preserve">Administer therapy as directed by the label or </w:t>
            </w:r>
            <w:r w:rsidRPr="3C17495F" w:rsidR="00371390">
              <w:rPr>
                <w:rFonts w:ascii="Arial Nova" w:hAnsi="Arial Nova"/>
              </w:rPr>
              <w:t>AU</w:t>
            </w:r>
            <w:r w:rsidRPr="3C17495F" w:rsidR="00371390">
              <w:rPr>
                <w:rFonts w:ascii="Arial Nova" w:hAnsi="Arial Nova"/>
              </w:rPr>
              <w:t xml:space="preserve"> physician. </w:t>
            </w:r>
          </w:p>
        </w:tc>
        <w:tc>
          <w:tcPr>
            <w:tcW w:w="1849" w:type="dxa"/>
            <w:shd w:val="clear" w:color="auto" w:fill="DEEAF6" w:themeFill="accent5" w:themeFillTint="33"/>
            <w:tcMar/>
          </w:tcPr>
          <w:p w:rsidRPr="00765170" w:rsidR="00371390" w:rsidP="00856C4A" w:rsidRDefault="00371390" w14:paraId="4A5C9B0A" w14:textId="77777777">
            <w:pPr>
              <w:rPr>
                <w:rFonts w:ascii="Arial Nova" w:hAnsi="Arial Nova"/>
              </w:rPr>
            </w:pPr>
          </w:p>
        </w:tc>
      </w:tr>
      <w:tr w:rsidR="000E7667" w:rsidTr="3C17495F" w14:paraId="34289138" w14:textId="77777777">
        <w:trPr>
          <w:trHeight w:val="845"/>
        </w:trPr>
        <w:tc>
          <w:tcPr>
            <w:tcW w:w="2062" w:type="dxa"/>
            <w:shd w:val="clear" w:color="auto" w:fill="E2EFD9" w:themeFill="accent6" w:themeFillTint="33"/>
            <w:tcMar/>
          </w:tcPr>
          <w:p w:rsidRPr="00102511" w:rsidR="00102511" w:rsidP="00102511" w:rsidRDefault="00102511" w14:paraId="2FE11D84" w14:textId="77777777">
            <w:pPr>
              <w:jc w:val="center"/>
              <w:rPr>
                <w:rFonts w:ascii="Arial Nova" w:hAnsi="Arial Nova"/>
                <w:b/>
                <w:bCs/>
              </w:rPr>
            </w:pPr>
          </w:p>
          <w:p w:rsidRPr="00102511" w:rsidR="000E7667" w:rsidP="00102511" w:rsidRDefault="00102511" w14:paraId="6A171E30" w14:textId="6A362565">
            <w:pPr>
              <w:jc w:val="center"/>
              <w:rPr>
                <w:rFonts w:ascii="Arial Nova" w:hAnsi="Arial Nova"/>
                <w:b/>
                <w:bCs/>
              </w:rPr>
            </w:pPr>
            <w:r w:rsidRPr="00102511">
              <w:rPr>
                <w:rFonts w:ascii="Arial Nova" w:hAnsi="Arial Nova"/>
                <w:b/>
                <w:bCs/>
              </w:rPr>
              <w:t>Acquisition</w:t>
            </w:r>
          </w:p>
        </w:tc>
        <w:tc>
          <w:tcPr>
            <w:tcW w:w="5439" w:type="dxa"/>
            <w:shd w:val="clear" w:color="auto" w:fill="E2EFD9" w:themeFill="accent6" w:themeFillTint="33"/>
            <w:tcMar/>
          </w:tcPr>
          <w:p w:rsidR="000E7667" w:rsidP="00856C4A" w:rsidRDefault="007D3909" w14:paraId="13EE189E" w14:textId="1611FB9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Ensure the patient is position</w:t>
            </w:r>
            <w:r w:rsidR="00573FF1">
              <w:rPr>
                <w:rFonts w:ascii="Arial Nova" w:hAnsi="Arial Nova"/>
              </w:rPr>
              <w:t>ed</w:t>
            </w:r>
            <w:r>
              <w:rPr>
                <w:rFonts w:ascii="Arial Nova" w:hAnsi="Arial Nova"/>
              </w:rPr>
              <w:t xml:space="preserve"> correctly as instructed by the camera specific protocols. </w:t>
            </w:r>
          </w:p>
        </w:tc>
        <w:tc>
          <w:tcPr>
            <w:tcW w:w="1849" w:type="dxa"/>
            <w:shd w:val="clear" w:color="auto" w:fill="E2EFD9" w:themeFill="accent6" w:themeFillTint="33"/>
            <w:tcMar/>
          </w:tcPr>
          <w:p w:rsidRPr="00765170" w:rsidR="000E7667" w:rsidP="00856C4A" w:rsidRDefault="000E7667" w14:paraId="30331E92" w14:textId="77777777">
            <w:pPr>
              <w:rPr>
                <w:rFonts w:ascii="Arial Nova" w:hAnsi="Arial Nova"/>
              </w:rPr>
            </w:pPr>
          </w:p>
        </w:tc>
      </w:tr>
      <w:tr w:rsidR="00403821" w:rsidTr="3C17495F" w14:paraId="26772E32" w14:textId="77777777">
        <w:trPr>
          <w:trHeight w:val="845"/>
        </w:trPr>
        <w:tc>
          <w:tcPr>
            <w:tcW w:w="2062" w:type="dxa"/>
            <w:shd w:val="clear" w:color="auto" w:fill="FBE4D5" w:themeFill="accent2" w:themeFillTint="33"/>
            <w:tcMar/>
          </w:tcPr>
          <w:p w:rsidR="003C6A86" w:rsidP="00102511" w:rsidRDefault="003C6A86" w14:paraId="5ACC48F8" w14:textId="77777777">
            <w:pPr>
              <w:jc w:val="center"/>
              <w:rPr>
                <w:rFonts w:ascii="Arial Nova" w:hAnsi="Arial Nova"/>
                <w:b/>
                <w:bCs/>
              </w:rPr>
            </w:pPr>
          </w:p>
          <w:p w:rsidRPr="00102511" w:rsidR="00403821" w:rsidP="00102511" w:rsidRDefault="00403821" w14:paraId="5A163E2D" w14:textId="3FFCA82B" w14:noSpellErr="1">
            <w:pPr>
              <w:jc w:val="center"/>
              <w:rPr>
                <w:rFonts w:ascii="Arial Nova" w:hAnsi="Arial Nova"/>
                <w:b w:val="1"/>
                <w:bCs w:val="1"/>
              </w:rPr>
            </w:pPr>
            <w:r w:rsidRPr="3C17495F" w:rsidR="00403821">
              <w:rPr>
                <w:rFonts w:ascii="Arial Nova" w:hAnsi="Arial Nova"/>
                <w:b w:val="1"/>
                <w:bCs w:val="1"/>
              </w:rPr>
              <w:t xml:space="preserve">Release </w:t>
            </w:r>
          </w:p>
        </w:tc>
        <w:tc>
          <w:tcPr>
            <w:tcW w:w="5439" w:type="dxa"/>
            <w:shd w:val="clear" w:color="auto" w:fill="FBE4D5" w:themeFill="accent2" w:themeFillTint="33"/>
            <w:tcMar/>
          </w:tcPr>
          <w:p w:rsidR="00403821" w:rsidP="00856C4A" w:rsidRDefault="00421354" w14:paraId="225C2AC7" w14:textId="4510A0C5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Ensure the patient exposure does not exceed 5 millisieverts (mSv) (0.5 rem). Additional NRC information can be located, </w:t>
            </w:r>
            <w:hyperlink w:history="1" r:id="rId13">
              <w:r w:rsidRPr="00421354">
                <w:rPr>
                  <w:rStyle w:val="Hyperlink"/>
                  <w:rFonts w:ascii="Arial Nova" w:hAnsi="Arial Nova"/>
                </w:rPr>
                <w:t>here</w:t>
              </w:r>
            </w:hyperlink>
            <w:r>
              <w:rPr>
                <w:rFonts w:ascii="Arial Nova" w:hAnsi="Arial Nova"/>
              </w:rPr>
              <w:t xml:space="preserve">. </w:t>
            </w:r>
            <w:hyperlink w:history="1" r:id="rId14">
              <w:r w:rsidRPr="003B6B00">
                <w:rPr>
                  <w:rStyle w:val="Hyperlink"/>
                  <w:rFonts w:ascii="Arial Nova" w:hAnsi="Arial Nova"/>
                </w:rPr>
                <w:t>https://www.nrc.gov/docs/ML1923/ML19232A081.pdf</w:t>
              </w:r>
            </w:hyperlink>
            <w:r>
              <w:rPr>
                <w:rFonts w:ascii="Arial Nova" w:hAnsi="Arial Nova"/>
              </w:rPr>
              <w:t xml:space="preserve">. Provide the patient or caregiver with safety instructions to minimize unwanted exposure. </w:t>
            </w:r>
          </w:p>
        </w:tc>
        <w:tc>
          <w:tcPr>
            <w:tcW w:w="1849" w:type="dxa"/>
            <w:shd w:val="clear" w:color="auto" w:fill="FBE4D5" w:themeFill="accent2" w:themeFillTint="33"/>
            <w:tcMar/>
          </w:tcPr>
          <w:p w:rsidRPr="00765170" w:rsidR="00403821" w:rsidP="00856C4A" w:rsidRDefault="00403821" w14:paraId="44E1D362" w14:textId="77777777">
            <w:pPr>
              <w:rPr>
                <w:rFonts w:ascii="Arial Nova" w:hAnsi="Arial Nova"/>
              </w:rPr>
            </w:pPr>
          </w:p>
        </w:tc>
      </w:tr>
      <w:tr w:rsidR="00102511" w:rsidTr="3C17495F" w14:paraId="6E3B5A1B" w14:textId="77777777">
        <w:trPr>
          <w:trHeight w:val="845"/>
        </w:trPr>
        <w:tc>
          <w:tcPr>
            <w:tcW w:w="2062" w:type="dxa"/>
            <w:vMerge w:val="restart"/>
            <w:shd w:val="clear" w:color="auto" w:fill="D0CECE" w:themeFill="background2" w:themeFillShade="E6"/>
            <w:tcMar/>
          </w:tcPr>
          <w:p w:rsidRPr="00102511" w:rsidR="00102511" w:rsidP="00102511" w:rsidRDefault="00102511" w14:paraId="16851AF8" w14:textId="77777777">
            <w:pPr>
              <w:jc w:val="center"/>
              <w:rPr>
                <w:rFonts w:ascii="Arial Nova" w:hAnsi="Arial Nova"/>
                <w:b/>
                <w:bCs/>
              </w:rPr>
            </w:pPr>
          </w:p>
          <w:p w:rsidRPr="00102511" w:rsidR="00102511" w:rsidP="00102511" w:rsidRDefault="00102511" w14:paraId="5F526C1E" w14:textId="77777777">
            <w:pPr>
              <w:jc w:val="center"/>
              <w:rPr>
                <w:rFonts w:ascii="Arial Nova" w:hAnsi="Arial Nova"/>
                <w:b/>
                <w:bCs/>
              </w:rPr>
            </w:pPr>
          </w:p>
          <w:p w:rsidRPr="00102511" w:rsidR="00102511" w:rsidP="00102511" w:rsidRDefault="00102511" w14:paraId="4A88765B" w14:textId="77777777">
            <w:pPr>
              <w:jc w:val="center"/>
              <w:rPr>
                <w:rFonts w:ascii="Arial Nova" w:hAnsi="Arial Nova"/>
                <w:b/>
                <w:bCs/>
              </w:rPr>
            </w:pPr>
          </w:p>
          <w:p w:rsidRPr="00102511" w:rsidR="00102511" w:rsidP="00102511" w:rsidRDefault="00102511" w14:paraId="41E28764" w14:textId="780A9F26">
            <w:pPr>
              <w:jc w:val="center"/>
              <w:rPr>
                <w:rFonts w:ascii="Arial Nova" w:hAnsi="Arial Nova"/>
                <w:b/>
                <w:bCs/>
              </w:rPr>
            </w:pPr>
            <w:r w:rsidRPr="00102511">
              <w:rPr>
                <w:rFonts w:ascii="Arial Nova" w:hAnsi="Arial Nova"/>
                <w:b/>
                <w:bCs/>
              </w:rPr>
              <w:t>After care</w:t>
            </w:r>
          </w:p>
        </w:tc>
        <w:tc>
          <w:tcPr>
            <w:tcW w:w="5439" w:type="dxa"/>
            <w:shd w:val="clear" w:color="auto" w:fill="D0CECE" w:themeFill="background2" w:themeFillShade="E6"/>
            <w:tcMar/>
          </w:tcPr>
          <w:p w:rsidR="00102511" w:rsidP="00856C4A" w:rsidRDefault="00102511" w14:paraId="2702463D" w14:textId="77777777" w14:noSpellErr="1">
            <w:pPr>
              <w:rPr>
                <w:rFonts w:ascii="Arial Nova" w:hAnsi="Arial Nova"/>
              </w:rPr>
            </w:pPr>
            <w:r w:rsidRPr="3C17495F" w:rsidR="00102511">
              <w:rPr>
                <w:rFonts w:ascii="Arial Nova" w:hAnsi="Arial Nova"/>
              </w:rPr>
              <w:t xml:space="preserve">Ensure </w:t>
            </w:r>
            <w:r w:rsidRPr="3C17495F" w:rsidR="00C86BE1">
              <w:rPr>
                <w:rFonts w:ascii="Arial Nova" w:hAnsi="Arial Nova"/>
              </w:rPr>
              <w:t xml:space="preserve">the </w:t>
            </w:r>
            <w:r w:rsidRPr="3C17495F" w:rsidR="00102511">
              <w:rPr>
                <w:rFonts w:ascii="Arial Nova" w:hAnsi="Arial Nova"/>
              </w:rPr>
              <w:t xml:space="preserve">patient has the </w:t>
            </w:r>
            <w:r w:rsidRPr="3C17495F" w:rsidR="00102511">
              <w:rPr>
                <w:rFonts w:ascii="Arial Nova" w:hAnsi="Arial Nova"/>
              </w:rPr>
              <w:t>appropriate contact</w:t>
            </w:r>
            <w:r w:rsidRPr="3C17495F" w:rsidR="00102511">
              <w:rPr>
                <w:rFonts w:ascii="Arial Nova" w:hAnsi="Arial Nova"/>
              </w:rPr>
              <w:t xml:space="preserve"> information for follow-up questions or concerns.</w:t>
            </w:r>
          </w:p>
          <w:p w:rsidR="00371390" w:rsidP="00856C4A" w:rsidRDefault="00371390" w14:paraId="2A70E703" w14:textId="7DA352E0" w14:noSpellErr="1">
            <w:pPr>
              <w:rPr>
                <w:rFonts w:ascii="Arial Nova" w:hAnsi="Arial Nova"/>
              </w:rPr>
            </w:pPr>
            <w:r w:rsidRPr="3C17495F" w:rsidR="00371390">
              <w:rPr>
                <w:rFonts w:ascii="Arial Nova" w:hAnsi="Arial Nova"/>
              </w:rPr>
              <w:t xml:space="preserve">Schedule any follow-up visits for labs or </w:t>
            </w:r>
            <w:r w:rsidRPr="3C17495F" w:rsidR="00371390">
              <w:rPr>
                <w:rFonts w:ascii="Arial Nova" w:hAnsi="Arial Nova"/>
              </w:rPr>
              <w:t>other reasons as instructed by the AU or referring physician.</w:t>
            </w:r>
          </w:p>
        </w:tc>
        <w:tc>
          <w:tcPr>
            <w:tcW w:w="1849" w:type="dxa"/>
            <w:shd w:val="clear" w:color="auto" w:fill="D0CECE" w:themeFill="background2" w:themeFillShade="E6"/>
            <w:tcMar/>
          </w:tcPr>
          <w:p w:rsidRPr="00765170" w:rsidR="00102511" w:rsidP="00856C4A" w:rsidRDefault="00102511" w14:paraId="485B3635" w14:textId="77777777">
            <w:pPr>
              <w:rPr>
                <w:rFonts w:ascii="Arial Nova" w:hAnsi="Arial Nova"/>
              </w:rPr>
            </w:pPr>
          </w:p>
        </w:tc>
      </w:tr>
      <w:tr w:rsidR="00102511" w:rsidTr="3C17495F" w14:paraId="4759EE30" w14:textId="77777777">
        <w:trPr>
          <w:trHeight w:val="845"/>
        </w:trPr>
        <w:tc>
          <w:tcPr>
            <w:tcW w:w="2062" w:type="dxa"/>
            <w:vMerge/>
            <w:tcMar/>
          </w:tcPr>
          <w:p w:rsidR="00102511" w:rsidP="00102511" w:rsidRDefault="00102511" w14:paraId="2E143036" w14:textId="77777777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439" w:type="dxa"/>
            <w:shd w:val="clear" w:color="auto" w:fill="D0CECE" w:themeFill="background2" w:themeFillShade="E6"/>
            <w:tcMar/>
          </w:tcPr>
          <w:p w:rsidR="00102511" w:rsidP="00856C4A" w:rsidRDefault="00102511" w14:paraId="578A40F0" w14:textId="52E2CE30" w14:noSpellErr="1">
            <w:pPr>
              <w:rPr>
                <w:rFonts w:ascii="Arial Nova" w:hAnsi="Arial Nova"/>
              </w:rPr>
            </w:pPr>
            <w:r w:rsidRPr="3C17495F" w:rsidR="00102511">
              <w:rPr>
                <w:rFonts w:ascii="Arial Nova" w:hAnsi="Arial Nova"/>
              </w:rPr>
              <w:t xml:space="preserve">Ensure </w:t>
            </w:r>
            <w:r w:rsidRPr="3C17495F" w:rsidR="00C86BE1">
              <w:rPr>
                <w:rFonts w:ascii="Arial Nova" w:hAnsi="Arial Nova"/>
              </w:rPr>
              <w:t xml:space="preserve">the </w:t>
            </w:r>
            <w:r w:rsidRPr="3C17495F" w:rsidR="00102511">
              <w:rPr>
                <w:rFonts w:ascii="Arial Nova" w:hAnsi="Arial Nova"/>
              </w:rPr>
              <w:t xml:space="preserve">patient has the necessary after treatment care instructions that are provided </w:t>
            </w:r>
            <w:r w:rsidRPr="3C17495F" w:rsidR="00102511">
              <w:rPr>
                <w:rFonts w:ascii="Arial Nova" w:hAnsi="Arial Nova"/>
              </w:rPr>
              <w:t>in</w:t>
            </w:r>
            <w:r w:rsidRPr="3C17495F" w:rsidR="00102511">
              <w:rPr>
                <w:rFonts w:ascii="Arial Nova" w:hAnsi="Arial Nova"/>
              </w:rPr>
              <w:t xml:space="preserve"> the label or as outlined by the </w:t>
            </w:r>
            <w:r w:rsidRPr="3C17495F" w:rsidR="00102511">
              <w:rPr>
                <w:rFonts w:ascii="Arial Nova" w:hAnsi="Arial Nova"/>
              </w:rPr>
              <w:t>AU</w:t>
            </w:r>
            <w:r w:rsidRPr="3C17495F" w:rsidR="00102511">
              <w:rPr>
                <w:rFonts w:ascii="Arial Nova" w:hAnsi="Arial Nova"/>
              </w:rPr>
              <w:t xml:space="preserve">. </w:t>
            </w:r>
          </w:p>
        </w:tc>
        <w:tc>
          <w:tcPr>
            <w:tcW w:w="1849" w:type="dxa"/>
            <w:shd w:val="clear" w:color="auto" w:fill="D0CECE" w:themeFill="background2" w:themeFillShade="E6"/>
            <w:tcMar/>
          </w:tcPr>
          <w:p w:rsidRPr="00765170" w:rsidR="00102511" w:rsidP="00856C4A" w:rsidRDefault="00102511" w14:paraId="6DEA0F4D" w14:textId="77777777">
            <w:pPr>
              <w:rPr>
                <w:rFonts w:ascii="Arial Nova" w:hAnsi="Arial Nova"/>
              </w:rPr>
            </w:pPr>
          </w:p>
        </w:tc>
      </w:tr>
    </w:tbl>
    <w:p w:rsidRPr="00856C4A" w:rsidR="00856C4A" w:rsidP="00856C4A" w:rsidRDefault="00856C4A" w14:paraId="1BC0A6D6" w14:textId="752D0986"/>
    <w:sectPr w:rsidRPr="00856C4A" w:rsidR="00856C4A" w:rsidSect="00776ED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611A"/>
    <w:multiLevelType w:val="hybridMultilevel"/>
    <w:tmpl w:val="D4A450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F307A8C"/>
    <w:multiLevelType w:val="hybridMultilevel"/>
    <w:tmpl w:val="61A6A4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77957513">
    <w:abstractNumId w:val="0"/>
  </w:num>
  <w:num w:numId="2" w16cid:durableId="922951667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4A"/>
    <w:rsid w:val="00061F07"/>
    <w:rsid w:val="00072F3F"/>
    <w:rsid w:val="000E7667"/>
    <w:rsid w:val="00102511"/>
    <w:rsid w:val="00106A77"/>
    <w:rsid w:val="001A5BE2"/>
    <w:rsid w:val="002044A0"/>
    <w:rsid w:val="0021497B"/>
    <w:rsid w:val="00371390"/>
    <w:rsid w:val="00395CC0"/>
    <w:rsid w:val="003C6A86"/>
    <w:rsid w:val="00403821"/>
    <w:rsid w:val="00421354"/>
    <w:rsid w:val="004527B1"/>
    <w:rsid w:val="00481C38"/>
    <w:rsid w:val="004A3DCD"/>
    <w:rsid w:val="004F53B2"/>
    <w:rsid w:val="00540A9F"/>
    <w:rsid w:val="00573FF1"/>
    <w:rsid w:val="005B2E8E"/>
    <w:rsid w:val="00661B82"/>
    <w:rsid w:val="0066663E"/>
    <w:rsid w:val="00765170"/>
    <w:rsid w:val="00776ED8"/>
    <w:rsid w:val="007D3909"/>
    <w:rsid w:val="00856C4A"/>
    <w:rsid w:val="00857E46"/>
    <w:rsid w:val="008600BF"/>
    <w:rsid w:val="008B5C3C"/>
    <w:rsid w:val="00AC4FFF"/>
    <w:rsid w:val="00B61729"/>
    <w:rsid w:val="00C115F2"/>
    <w:rsid w:val="00C86BE1"/>
    <w:rsid w:val="00D42EFE"/>
    <w:rsid w:val="00DA0D93"/>
    <w:rsid w:val="00E23442"/>
    <w:rsid w:val="00F13D5D"/>
    <w:rsid w:val="00F8665F"/>
    <w:rsid w:val="0CFC0476"/>
    <w:rsid w:val="10C111DF"/>
    <w:rsid w:val="15ADBC68"/>
    <w:rsid w:val="3C17495F"/>
    <w:rsid w:val="427B1A4D"/>
    <w:rsid w:val="43B5565D"/>
    <w:rsid w:val="4F5B5AF8"/>
    <w:rsid w:val="5483E695"/>
    <w:rsid w:val="5A2A52C6"/>
    <w:rsid w:val="7F5A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AEAC6"/>
  <w15:docId w15:val="{72D822C8-CBE3-40B6-87A1-99F10CE6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C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56C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5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517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651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17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651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44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1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nrc.gov/docs/ML1923/ML19232A081.pdf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6/09/relationships/commentsIds" Target="commentsIds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microsoft.com/office/2011/relationships/commentsExtended" Target="commentsExtended.xml" Id="rId10" /><Relationship Type="http://schemas.openxmlformats.org/officeDocument/2006/relationships/customXml" Target="../customXml/item4.xml" Id="rId4" /><Relationship Type="http://schemas.openxmlformats.org/officeDocument/2006/relationships/hyperlink" Target="https://www.nrc.gov/docs/ML1923/ML19232A081.pdf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64d089-49c0-4d32-9a4d-aa81b943ca03">
      <Terms xmlns="http://schemas.microsoft.com/office/infopath/2007/PartnerControls"/>
    </lcf76f155ced4ddcb4097134ff3c332f>
    <TaxCatchAll xmlns="ccb9ae7d-2c4f-4fc4-959a-06ca682754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7ECCE43152748B80E530CAA457BE0" ma:contentTypeVersion="19" ma:contentTypeDescription="Create a new document." ma:contentTypeScope="" ma:versionID="4c4fce7077a6d8c146e58d527a6156ca">
  <xsd:schema xmlns:xsd="http://www.w3.org/2001/XMLSchema" xmlns:xs="http://www.w3.org/2001/XMLSchema" xmlns:p="http://schemas.microsoft.com/office/2006/metadata/properties" xmlns:ns2="b764d089-49c0-4d32-9a4d-aa81b943ca03" xmlns:ns3="ccb9ae7d-2c4f-4fc4-959a-06ca68275489" targetNamespace="http://schemas.microsoft.com/office/2006/metadata/properties" ma:root="true" ma:fieldsID="15a575a9648d7435f3f5432638c8b4ba" ns2:_="" ns3:_="">
    <xsd:import namespace="b764d089-49c0-4d32-9a4d-aa81b943ca03"/>
    <xsd:import namespace="ccb9ae7d-2c4f-4fc4-959a-06ca68275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4d089-49c0-4d32-9a4d-aa81b943c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7a4ef1-d9de-4e17-a742-9ae9609a6e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9ae7d-2c4f-4fc4-959a-06ca68275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0a0430-653d-4454-aac4-eb5b752f5626}" ma:internalName="TaxCatchAll" ma:showField="CatchAllData" ma:web="ccb9ae7d-2c4f-4fc4-959a-06ca68275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020A9-56AB-46C2-98FD-3A8B1E5E7A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2F108E-491A-459E-A2B8-AE84E4AC6BCC}">
  <ds:schemaRefs>
    <ds:schemaRef ds:uri="http://schemas.microsoft.com/office/2006/metadata/properties"/>
    <ds:schemaRef ds:uri="http://schemas.microsoft.com/office/infopath/2007/PartnerControls"/>
    <ds:schemaRef ds:uri="b764d089-49c0-4d32-9a4d-aa81b943ca03"/>
    <ds:schemaRef ds:uri="ccb9ae7d-2c4f-4fc4-959a-06ca68275489"/>
  </ds:schemaRefs>
</ds:datastoreItem>
</file>

<file path=customXml/itemProps3.xml><?xml version="1.0" encoding="utf-8"?>
<ds:datastoreItem xmlns:ds="http://schemas.openxmlformats.org/officeDocument/2006/customXml" ds:itemID="{5513E234-C568-42A9-8F3C-236FEA499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E0A2E6-3BB1-442A-97EA-43F6F9081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4d089-49c0-4d32-9a4d-aa81b943ca03"/>
    <ds:schemaRef ds:uri="ccb9ae7d-2c4f-4fc4-959a-06ca68275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Trigger, Julia</dc:creator>
  <keywords/>
  <dc:description/>
  <lastModifiedBy>Trigger, Julia</lastModifiedBy>
  <revision>3</revision>
  <dcterms:created xsi:type="dcterms:W3CDTF">2024-02-14T18:10:00.0000000Z</dcterms:created>
  <dcterms:modified xsi:type="dcterms:W3CDTF">2024-04-16T19:21:00.5525635Z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0x010100B9E7ECCE43152748B80E530CAA457BE0</vt:lpwstr>
  </property>
  <property fmtid="{D5CDD505-2E9C-101B-9397-08002B2CF9AE}" pid="3" name="MediaServiceImageTags">
    <vt:lpwstr/>
  </property>
</Properties>
</file>